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5884" w14:textId="5098C04D"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b/>
          <w:bCs/>
          <w:color w:val="000000"/>
          <w:sz w:val="22"/>
          <w:szCs w:val="22"/>
          <w:lang w:val="en-NZ" w:eastAsia="en-GB"/>
        </w:rPr>
        <w:t xml:space="preserve">Webinar events on the new </w:t>
      </w:r>
      <w:r>
        <w:rPr>
          <w:rFonts w:ascii="Arial" w:eastAsia="Times New Roman" w:hAnsi="Arial" w:cs="Arial"/>
          <w:b/>
          <w:bCs/>
          <w:color w:val="000000"/>
          <w:sz w:val="22"/>
          <w:szCs w:val="22"/>
          <w:lang w:val="en-NZ" w:eastAsia="en-GB"/>
        </w:rPr>
        <w:t xml:space="preserve">PLD </w:t>
      </w:r>
      <w:r w:rsidRPr="00C27240">
        <w:rPr>
          <w:rFonts w:ascii="Arial" w:eastAsia="Times New Roman" w:hAnsi="Arial" w:cs="Arial"/>
          <w:b/>
          <w:bCs/>
          <w:color w:val="000000"/>
          <w:sz w:val="22"/>
          <w:szCs w:val="22"/>
          <w:lang w:val="en-NZ" w:eastAsia="en-GB"/>
        </w:rPr>
        <w:t>priorities</w:t>
      </w:r>
    </w:p>
    <w:p w14:paraId="60E1434A" w14:textId="77777777" w:rsidR="00C27240" w:rsidRDefault="00C27240" w:rsidP="00C27240">
      <w:pPr>
        <w:rPr>
          <w:rFonts w:ascii="Arial" w:eastAsia="Times New Roman" w:hAnsi="Arial" w:cs="Arial"/>
          <w:color w:val="000000"/>
          <w:sz w:val="22"/>
          <w:szCs w:val="22"/>
          <w:lang w:val="en-NZ" w:eastAsia="en-GB"/>
        </w:rPr>
      </w:pPr>
    </w:p>
    <w:p w14:paraId="2A007381" w14:textId="0F162DA1"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We are pleased to share with you that there is a series of webinars on the new PLD Priorities beginning on 27 August. The webinars will begin at 3.30pm and will run for 90 minutes on Tuesdays and Thursdays over a period of about eight weeks. </w:t>
      </w:r>
    </w:p>
    <w:p w14:paraId="6E5BF480"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58BFCE21"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The webinars, which will be delivered by a mixture of internal and external experts, are intended to socialise the new PLD priorities, build shared understandings of them and the shifts in facilitator and teacher practice that they will lead to, and how they will impact for learners. </w:t>
      </w:r>
    </w:p>
    <w:p w14:paraId="5153BD1A"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148A649E"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The programme for the first six are confirmed and are listed below:</w:t>
      </w:r>
    </w:p>
    <w:p w14:paraId="1C42B088"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tbl>
      <w:tblPr>
        <w:tblW w:w="10622" w:type="dxa"/>
        <w:tblCellMar>
          <w:left w:w="0" w:type="dxa"/>
          <w:right w:w="0" w:type="dxa"/>
        </w:tblCellMar>
        <w:tblLook w:val="04A0" w:firstRow="1" w:lastRow="0" w:firstColumn="1" w:lastColumn="0" w:noHBand="0" w:noVBand="1"/>
      </w:tblPr>
      <w:tblGrid>
        <w:gridCol w:w="983"/>
        <w:gridCol w:w="3685"/>
        <w:gridCol w:w="5954"/>
      </w:tblGrid>
      <w:tr w:rsidR="00C27240" w:rsidRPr="00C27240" w14:paraId="1CE9F318" w14:textId="77777777" w:rsidTr="00C27240">
        <w:trPr>
          <w:trHeight w:val="383"/>
        </w:trPr>
        <w:tc>
          <w:tcPr>
            <w:tcW w:w="10622" w:type="dxa"/>
            <w:gridSpan w:val="3"/>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vAlign w:val="center"/>
            <w:hideMark/>
          </w:tcPr>
          <w:p w14:paraId="457B0E8C" w14:textId="77777777" w:rsidR="00C27240" w:rsidRPr="00C27240" w:rsidRDefault="00C27240" w:rsidP="00C27240">
            <w:pPr>
              <w:spacing w:after="60"/>
              <w:jc w:val="center"/>
              <w:rPr>
                <w:rFonts w:ascii="Arial" w:eastAsia="Times New Roman" w:hAnsi="Arial" w:cs="Arial"/>
                <w:sz w:val="22"/>
                <w:szCs w:val="22"/>
                <w:lang w:val="en-NZ" w:eastAsia="en-GB"/>
              </w:rPr>
            </w:pPr>
            <w:r w:rsidRPr="00C27240">
              <w:rPr>
                <w:rFonts w:ascii="Arial" w:eastAsia="Times New Roman" w:hAnsi="Arial" w:cs="Arial"/>
                <w:b/>
                <w:bCs/>
                <w:color w:val="FFFFFF"/>
                <w:sz w:val="22"/>
                <w:szCs w:val="22"/>
                <w:u w:val="single"/>
                <w:lang w:val="en-NZ" w:eastAsia="en-GB"/>
              </w:rPr>
              <w:t>PLD Priorities Webinar series</w:t>
            </w:r>
          </w:p>
        </w:tc>
      </w:tr>
      <w:tr w:rsidR="00C27240" w:rsidRPr="00C27240" w14:paraId="36F9292A" w14:textId="77777777" w:rsidTr="00C919A5">
        <w:trPr>
          <w:trHeight w:val="428"/>
        </w:trPr>
        <w:tc>
          <w:tcPr>
            <w:tcW w:w="98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561F9837" w14:textId="77777777" w:rsidR="00C27240" w:rsidRPr="00C27240" w:rsidRDefault="00C27240" w:rsidP="00C27240">
            <w:pPr>
              <w:spacing w:after="60"/>
              <w:rPr>
                <w:rFonts w:ascii="Arial" w:eastAsia="Times New Roman" w:hAnsi="Arial" w:cs="Arial"/>
                <w:sz w:val="22"/>
                <w:szCs w:val="22"/>
                <w:lang w:val="en-NZ" w:eastAsia="en-GB"/>
              </w:rPr>
            </w:pPr>
            <w:r w:rsidRPr="00C27240">
              <w:rPr>
                <w:rFonts w:ascii="Arial" w:eastAsia="Times New Roman" w:hAnsi="Arial" w:cs="Arial"/>
                <w:b/>
                <w:bCs/>
                <w:color w:val="000000"/>
                <w:sz w:val="22"/>
                <w:szCs w:val="22"/>
                <w:lang w:val="en-NZ" w:eastAsia="en-GB"/>
              </w:rPr>
              <w:t>Date</w:t>
            </w:r>
          </w:p>
        </w:tc>
        <w:tc>
          <w:tcPr>
            <w:tcW w:w="36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51F4E2D" w14:textId="77777777" w:rsidR="00C27240" w:rsidRPr="00C27240" w:rsidRDefault="00C27240" w:rsidP="00C27240">
            <w:pPr>
              <w:spacing w:after="60"/>
              <w:rPr>
                <w:rFonts w:ascii="Arial" w:eastAsia="Times New Roman" w:hAnsi="Arial" w:cs="Arial"/>
                <w:sz w:val="22"/>
                <w:szCs w:val="22"/>
                <w:lang w:val="en-NZ" w:eastAsia="en-GB"/>
              </w:rPr>
            </w:pPr>
            <w:r w:rsidRPr="00C27240">
              <w:rPr>
                <w:rFonts w:ascii="Arial" w:eastAsia="Times New Roman" w:hAnsi="Arial" w:cs="Arial"/>
                <w:b/>
                <w:bCs/>
                <w:color w:val="000000"/>
                <w:sz w:val="22"/>
                <w:szCs w:val="22"/>
                <w:lang w:val="en-NZ" w:eastAsia="en-GB"/>
              </w:rPr>
              <w:t>Subject</w:t>
            </w:r>
          </w:p>
        </w:tc>
        <w:tc>
          <w:tcPr>
            <w:tcW w:w="595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6D06BFCE" w14:textId="77777777" w:rsidR="00C27240" w:rsidRPr="00C27240" w:rsidRDefault="00C27240" w:rsidP="00C27240">
            <w:pPr>
              <w:spacing w:before="120" w:after="60"/>
              <w:rPr>
                <w:rFonts w:ascii="Arial" w:eastAsia="Times New Roman" w:hAnsi="Arial" w:cs="Arial"/>
                <w:sz w:val="20"/>
                <w:szCs w:val="20"/>
                <w:lang w:val="en-NZ" w:eastAsia="en-GB"/>
              </w:rPr>
            </w:pPr>
            <w:r w:rsidRPr="00C27240">
              <w:rPr>
                <w:rFonts w:ascii="Arial" w:eastAsia="Times New Roman" w:hAnsi="Arial" w:cs="Arial"/>
                <w:b/>
                <w:bCs/>
                <w:color w:val="000000"/>
                <w:sz w:val="22"/>
                <w:szCs w:val="22"/>
                <w:lang w:eastAsia="en-GB"/>
              </w:rPr>
              <w:t>Presenter</w:t>
            </w:r>
          </w:p>
        </w:tc>
      </w:tr>
      <w:tr w:rsidR="00C27240" w:rsidRPr="00C27240" w14:paraId="6EC814BD" w14:textId="77777777" w:rsidTr="00C919A5">
        <w:trPr>
          <w:trHeight w:val="633"/>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CF652" w14:textId="7ABFB169"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sz w:val="22"/>
                <w:szCs w:val="22"/>
                <w:lang w:val="en-NZ" w:eastAsia="en-GB"/>
              </w:rPr>
              <w:t>27 Aug</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254E5"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sz w:val="22"/>
                <w:szCs w:val="22"/>
                <w:lang w:val="en-NZ" w:eastAsia="en-GB"/>
              </w:rPr>
              <w:t>Building shared understanding </w:t>
            </w:r>
          </w:p>
          <w:p w14:paraId="322FBC5E"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sz w:val="22"/>
                <w:szCs w:val="22"/>
                <w:lang w:val="en-NZ" w:eastAsia="en-GB"/>
              </w:rPr>
              <w:t>Local Curriculum Design</w:t>
            </w:r>
          </w:p>
        </w:tc>
        <w:tc>
          <w:tcPr>
            <w:tcW w:w="5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6E6290" w14:textId="49FDC762"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sz w:val="22"/>
                <w:szCs w:val="22"/>
                <w:lang w:eastAsia="en-GB"/>
              </w:rPr>
              <w:t>Carolyn English</w:t>
            </w:r>
            <w:r>
              <w:rPr>
                <w:rFonts w:ascii="Arial" w:eastAsia="Times New Roman" w:hAnsi="Arial" w:cs="Arial"/>
                <w:sz w:val="22"/>
                <w:szCs w:val="22"/>
                <w:lang w:eastAsia="en-GB"/>
              </w:rPr>
              <w:t xml:space="preserve"> </w:t>
            </w:r>
            <w:r w:rsidRPr="00C27240">
              <w:rPr>
                <w:rFonts w:ascii="Arial" w:eastAsia="Times New Roman" w:hAnsi="Arial" w:cs="Arial"/>
                <w:i/>
                <w:iCs/>
                <w:sz w:val="22"/>
                <w:szCs w:val="22"/>
                <w:lang w:eastAsia="en-GB"/>
              </w:rPr>
              <w:t>Ministry of Education</w:t>
            </w:r>
          </w:p>
        </w:tc>
      </w:tr>
      <w:tr w:rsidR="00C27240" w:rsidRPr="00C27240" w14:paraId="27212C9D" w14:textId="77777777" w:rsidTr="00C919A5">
        <w:trPr>
          <w:trHeight w:val="542"/>
        </w:trPr>
        <w:tc>
          <w:tcPr>
            <w:tcW w:w="98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0CD07C1E" w14:textId="27060899"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color w:val="000000"/>
                <w:sz w:val="22"/>
                <w:szCs w:val="22"/>
                <w:lang w:val="en-NZ" w:eastAsia="en-GB"/>
              </w:rPr>
              <w:t>1 Sep</w:t>
            </w:r>
          </w:p>
        </w:tc>
        <w:tc>
          <w:tcPr>
            <w:tcW w:w="36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35363C47"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color w:val="000000"/>
                <w:sz w:val="22"/>
                <w:szCs w:val="22"/>
                <w:lang w:val="en-NZ" w:eastAsia="en-GB"/>
              </w:rPr>
              <w:t>Building shared understanding </w:t>
            </w:r>
          </w:p>
          <w:p w14:paraId="7CB33E2A" w14:textId="77777777" w:rsidR="00C27240" w:rsidRPr="00C27240" w:rsidRDefault="00C27240" w:rsidP="00C27240">
            <w:pPr>
              <w:ind w:left="425" w:hanging="425"/>
              <w:rPr>
                <w:rFonts w:ascii="Tahoma" w:eastAsia="Times New Roman" w:hAnsi="Tahoma" w:cs="Tahoma"/>
                <w:lang w:val="en-NZ" w:eastAsia="en-GB"/>
              </w:rPr>
            </w:pPr>
            <w:r w:rsidRPr="00C27240">
              <w:rPr>
                <w:rFonts w:ascii="Arial" w:eastAsia="Times New Roman" w:hAnsi="Arial" w:cs="Arial"/>
                <w:color w:val="000000"/>
                <w:sz w:val="22"/>
                <w:szCs w:val="22"/>
                <w:lang w:val="en-NZ" w:eastAsia="en-GB"/>
              </w:rPr>
              <w:t>Assessment for Learning</w:t>
            </w:r>
          </w:p>
        </w:tc>
        <w:tc>
          <w:tcPr>
            <w:tcW w:w="595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4DBEADDF" w14:textId="44ED778E"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color w:val="000000"/>
                <w:sz w:val="22"/>
                <w:szCs w:val="22"/>
                <w:lang w:eastAsia="en-GB"/>
              </w:rPr>
              <w:t xml:space="preserve">Michael </w:t>
            </w:r>
            <w:proofErr w:type="spellStart"/>
            <w:r w:rsidRPr="00C27240">
              <w:rPr>
                <w:rFonts w:ascii="Arial" w:eastAsia="Times New Roman" w:hAnsi="Arial" w:cs="Arial"/>
                <w:color w:val="000000"/>
                <w:sz w:val="22"/>
                <w:szCs w:val="22"/>
                <w:lang w:eastAsia="en-GB"/>
              </w:rPr>
              <w:t>Absolum</w:t>
            </w:r>
            <w:proofErr w:type="spellEnd"/>
            <w:r w:rsidRPr="00C27240">
              <w:rPr>
                <w:rFonts w:ascii="Arial" w:eastAsia="Times New Roman" w:hAnsi="Arial" w:cs="Arial"/>
                <w:color w:val="000000"/>
                <w:sz w:val="22"/>
                <w:szCs w:val="22"/>
                <w:lang w:eastAsia="en-GB"/>
              </w:rPr>
              <w:t> </w:t>
            </w:r>
            <w:r>
              <w:rPr>
                <w:rFonts w:ascii="Arial" w:eastAsia="Times New Roman" w:hAnsi="Arial" w:cs="Arial"/>
                <w:color w:val="000000"/>
                <w:sz w:val="22"/>
                <w:szCs w:val="22"/>
                <w:lang w:eastAsia="en-GB"/>
              </w:rPr>
              <w:t xml:space="preserve"> </w:t>
            </w:r>
            <w:r w:rsidRPr="00C27240">
              <w:rPr>
                <w:rFonts w:ascii="Arial" w:eastAsia="Times New Roman" w:hAnsi="Arial" w:cs="Arial"/>
                <w:i/>
                <w:iCs/>
                <w:color w:val="000000"/>
                <w:sz w:val="22"/>
                <w:szCs w:val="22"/>
                <w:lang w:eastAsia="en-GB"/>
              </w:rPr>
              <w:t>Evaluation Associates</w:t>
            </w:r>
          </w:p>
        </w:tc>
      </w:tr>
      <w:tr w:rsidR="00C27240" w:rsidRPr="00C27240" w14:paraId="436ACA24" w14:textId="77777777" w:rsidTr="00C919A5">
        <w:trPr>
          <w:trHeight w:val="836"/>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94C64" w14:textId="2D84AE60"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sz w:val="22"/>
                <w:szCs w:val="22"/>
                <w:lang w:val="en-NZ" w:eastAsia="en-GB"/>
              </w:rPr>
              <w:t>3 Sep</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46B7F"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sz w:val="22"/>
                <w:szCs w:val="22"/>
                <w:lang w:val="en-NZ" w:eastAsia="en-GB"/>
              </w:rPr>
              <w:t>Building shared understanding </w:t>
            </w:r>
          </w:p>
          <w:p w14:paraId="558CD8CD" w14:textId="77777777" w:rsidR="00C27240" w:rsidRPr="00C27240" w:rsidRDefault="00C27240" w:rsidP="00C27240">
            <w:pPr>
              <w:ind w:left="425" w:hanging="425"/>
              <w:rPr>
                <w:rFonts w:ascii="Tahoma" w:eastAsia="Times New Roman" w:hAnsi="Tahoma" w:cs="Tahoma"/>
                <w:lang w:val="en-NZ" w:eastAsia="en-GB"/>
              </w:rPr>
            </w:pPr>
            <w:r w:rsidRPr="00C27240">
              <w:rPr>
                <w:rFonts w:ascii="Arial" w:eastAsia="Times New Roman" w:hAnsi="Arial" w:cs="Arial"/>
                <w:sz w:val="22"/>
                <w:szCs w:val="22"/>
                <w:lang w:val="en-NZ" w:eastAsia="en-GB"/>
              </w:rPr>
              <w:t>Cultural Capability</w:t>
            </w:r>
          </w:p>
        </w:tc>
        <w:tc>
          <w:tcPr>
            <w:tcW w:w="5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9F0F6" w14:textId="07B7D8FF"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sz w:val="22"/>
                <w:szCs w:val="22"/>
                <w:lang w:eastAsia="en-GB"/>
              </w:rPr>
              <w:t xml:space="preserve">Hine </w:t>
            </w:r>
            <w:proofErr w:type="spellStart"/>
            <w:r w:rsidRPr="00C27240">
              <w:rPr>
                <w:rFonts w:ascii="Arial" w:eastAsia="Times New Roman" w:hAnsi="Arial" w:cs="Arial"/>
                <w:sz w:val="22"/>
                <w:szCs w:val="22"/>
                <w:lang w:eastAsia="en-GB"/>
              </w:rPr>
              <w:t>Waitere</w:t>
            </w:r>
            <w:proofErr w:type="spellEnd"/>
            <w:r w:rsidRPr="00C27240">
              <w:rPr>
                <w:rFonts w:ascii="Arial" w:eastAsia="Times New Roman" w:hAnsi="Arial" w:cs="Arial"/>
                <w:sz w:val="22"/>
                <w:szCs w:val="22"/>
                <w:lang w:eastAsia="en-GB"/>
              </w:rPr>
              <w:t>  </w:t>
            </w:r>
            <w:r w:rsidRPr="00C27240">
              <w:rPr>
                <w:rFonts w:ascii="Arial" w:eastAsia="Times New Roman" w:hAnsi="Arial" w:cs="Arial"/>
                <w:i/>
                <w:iCs/>
                <w:sz w:val="22"/>
                <w:szCs w:val="22"/>
                <w:lang w:eastAsia="en-GB"/>
              </w:rPr>
              <w:t xml:space="preserve">Te Whare Wānanga o </w:t>
            </w:r>
            <w:proofErr w:type="spellStart"/>
            <w:r w:rsidRPr="00C27240">
              <w:rPr>
                <w:rFonts w:ascii="Arial" w:eastAsia="Times New Roman" w:hAnsi="Arial" w:cs="Arial"/>
                <w:i/>
                <w:iCs/>
                <w:sz w:val="22"/>
                <w:szCs w:val="22"/>
                <w:lang w:eastAsia="en-GB"/>
              </w:rPr>
              <w:t>Awanuiārangi</w:t>
            </w:r>
            <w:proofErr w:type="spellEnd"/>
          </w:p>
          <w:p w14:paraId="4105B1C7" w14:textId="0C7B6BFF" w:rsidR="00C27240" w:rsidRPr="00C27240" w:rsidRDefault="00C27240" w:rsidP="00C27240">
            <w:pPr>
              <w:rPr>
                <w:rFonts w:ascii="Arial" w:eastAsia="Times New Roman" w:hAnsi="Arial" w:cs="Arial"/>
                <w:sz w:val="20"/>
                <w:szCs w:val="20"/>
                <w:lang w:val="en-NZ" w:eastAsia="en-GB"/>
              </w:rPr>
            </w:pPr>
            <w:proofErr w:type="spellStart"/>
            <w:r w:rsidRPr="00C27240">
              <w:rPr>
                <w:rFonts w:ascii="Arial" w:eastAsia="Times New Roman" w:hAnsi="Arial" w:cs="Arial"/>
                <w:sz w:val="22"/>
                <w:szCs w:val="22"/>
                <w:lang w:eastAsia="en-GB"/>
              </w:rPr>
              <w:t>Hoana</w:t>
            </w:r>
            <w:proofErr w:type="spellEnd"/>
            <w:r w:rsidRPr="00C27240">
              <w:rPr>
                <w:rFonts w:ascii="Arial" w:eastAsia="Times New Roman" w:hAnsi="Arial" w:cs="Arial"/>
                <w:sz w:val="22"/>
                <w:szCs w:val="22"/>
                <w:lang w:eastAsia="en-GB"/>
              </w:rPr>
              <w:t xml:space="preserve"> Pearson</w:t>
            </w:r>
            <w:r>
              <w:rPr>
                <w:rFonts w:ascii="Arial" w:eastAsia="Times New Roman" w:hAnsi="Arial" w:cs="Arial"/>
                <w:sz w:val="22"/>
                <w:szCs w:val="22"/>
                <w:lang w:eastAsia="en-GB"/>
              </w:rPr>
              <w:t xml:space="preserve">  </w:t>
            </w:r>
            <w:r w:rsidRPr="00C27240">
              <w:rPr>
                <w:rFonts w:ascii="Arial" w:eastAsia="Times New Roman" w:hAnsi="Arial" w:cs="Arial"/>
                <w:i/>
                <w:iCs/>
                <w:sz w:val="22"/>
                <w:szCs w:val="22"/>
                <w:lang w:eastAsia="en-GB"/>
              </w:rPr>
              <w:t>Maori Achievement Collaborative (MAC)</w:t>
            </w:r>
          </w:p>
          <w:p w14:paraId="1EB290D4" w14:textId="75EAC969"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sz w:val="22"/>
                <w:szCs w:val="22"/>
                <w:lang w:eastAsia="en-GB"/>
              </w:rPr>
              <w:t>Ruth Snowden </w:t>
            </w:r>
            <w:r w:rsidRPr="00C27240">
              <w:rPr>
                <w:rFonts w:ascii="Arial" w:eastAsia="Times New Roman" w:hAnsi="Arial" w:cs="Arial"/>
                <w:i/>
                <w:iCs/>
                <w:sz w:val="22"/>
                <w:szCs w:val="22"/>
                <w:lang w:eastAsia="en-GB"/>
              </w:rPr>
              <w:t>Ministry of Education</w:t>
            </w:r>
          </w:p>
        </w:tc>
      </w:tr>
      <w:tr w:rsidR="00C27240" w:rsidRPr="00C27240" w14:paraId="2CB1D027" w14:textId="77777777" w:rsidTr="00C919A5">
        <w:trPr>
          <w:trHeight w:val="607"/>
        </w:trPr>
        <w:tc>
          <w:tcPr>
            <w:tcW w:w="98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72D99899" w14:textId="5AA8A5DF"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color w:val="000000"/>
                <w:sz w:val="22"/>
                <w:szCs w:val="22"/>
                <w:lang w:val="en-NZ" w:eastAsia="en-GB"/>
              </w:rPr>
              <w:t>8 Sep</w:t>
            </w:r>
          </w:p>
        </w:tc>
        <w:tc>
          <w:tcPr>
            <w:tcW w:w="36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0C01766"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color w:val="000000"/>
                <w:sz w:val="22"/>
                <w:szCs w:val="22"/>
                <w:lang w:val="en-NZ" w:eastAsia="en-GB"/>
              </w:rPr>
              <w:t>Cross-cutting themes</w:t>
            </w:r>
          </w:p>
          <w:p w14:paraId="044E7A9A"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color w:val="000000"/>
                <w:sz w:val="22"/>
                <w:szCs w:val="22"/>
                <w:lang w:val="en-NZ" w:eastAsia="en-GB"/>
              </w:rPr>
              <w:t>Inclusion and neuro-diversity</w:t>
            </w:r>
          </w:p>
        </w:tc>
        <w:tc>
          <w:tcPr>
            <w:tcW w:w="595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D28437D" w14:textId="31369177"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color w:val="000000"/>
                <w:sz w:val="22"/>
                <w:szCs w:val="22"/>
                <w:lang w:eastAsia="en-GB"/>
              </w:rPr>
              <w:t>Matt Frost </w:t>
            </w:r>
            <w:r w:rsidRPr="00C27240">
              <w:rPr>
                <w:rFonts w:ascii="Arial" w:eastAsia="Times New Roman" w:hAnsi="Arial" w:cs="Arial"/>
                <w:i/>
                <w:iCs/>
                <w:color w:val="000000"/>
                <w:sz w:val="22"/>
                <w:szCs w:val="22"/>
                <w:lang w:val="en-NZ" w:eastAsia="en-GB"/>
              </w:rPr>
              <w:t>Ministry of Education</w:t>
            </w:r>
          </w:p>
        </w:tc>
      </w:tr>
      <w:tr w:rsidR="00C27240" w:rsidRPr="00C27240" w14:paraId="0B01A094" w14:textId="77777777" w:rsidTr="00C919A5">
        <w:trPr>
          <w:trHeight w:val="559"/>
        </w:trPr>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B356B" w14:textId="7E3F3A33"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sz w:val="22"/>
                <w:szCs w:val="22"/>
                <w:lang w:val="en-NZ" w:eastAsia="en-GB"/>
              </w:rPr>
              <w:t>10 Sep</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D2E20"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sz w:val="22"/>
                <w:szCs w:val="22"/>
                <w:lang w:val="en-NZ" w:eastAsia="en-GB"/>
              </w:rPr>
              <w:t>Cross-cutting themes </w:t>
            </w:r>
          </w:p>
          <w:p w14:paraId="1A2F5CD1"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sz w:val="22"/>
                <w:szCs w:val="22"/>
                <w:lang w:val="en-NZ" w:eastAsia="en-GB"/>
              </w:rPr>
              <w:t>Critical consciousness </w:t>
            </w:r>
          </w:p>
        </w:tc>
        <w:tc>
          <w:tcPr>
            <w:tcW w:w="59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6AA57" w14:textId="76580F8F"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sz w:val="22"/>
                <w:szCs w:val="22"/>
                <w:lang w:eastAsia="en-GB"/>
              </w:rPr>
              <w:t>Ann Milne </w:t>
            </w:r>
            <w:r w:rsidRPr="00C27240">
              <w:rPr>
                <w:rFonts w:ascii="Arial" w:eastAsia="Times New Roman" w:hAnsi="Arial" w:cs="Arial"/>
                <w:i/>
                <w:iCs/>
                <w:sz w:val="22"/>
                <w:szCs w:val="22"/>
                <w:lang w:eastAsia="en-GB"/>
              </w:rPr>
              <w:t>Ann Milne Education</w:t>
            </w:r>
          </w:p>
        </w:tc>
      </w:tr>
      <w:tr w:rsidR="00C27240" w:rsidRPr="00C27240" w14:paraId="215E0657" w14:textId="77777777" w:rsidTr="00C919A5">
        <w:trPr>
          <w:trHeight w:val="596"/>
        </w:trPr>
        <w:tc>
          <w:tcPr>
            <w:tcW w:w="983"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587A007E" w14:textId="562255B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color w:val="000000"/>
                <w:sz w:val="22"/>
                <w:szCs w:val="22"/>
                <w:lang w:val="en-NZ" w:eastAsia="en-GB"/>
              </w:rPr>
              <w:t>15 Sep</w:t>
            </w:r>
          </w:p>
        </w:tc>
        <w:tc>
          <w:tcPr>
            <w:tcW w:w="3685"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B71BA7D" w14:textId="77777777" w:rsidR="00C27240" w:rsidRPr="00C27240" w:rsidRDefault="00C27240" w:rsidP="00C27240">
            <w:pPr>
              <w:rPr>
                <w:rFonts w:ascii="Arial" w:eastAsia="Times New Roman" w:hAnsi="Arial" w:cs="Arial"/>
                <w:sz w:val="22"/>
                <w:szCs w:val="22"/>
                <w:lang w:val="en-NZ" w:eastAsia="en-GB"/>
              </w:rPr>
            </w:pPr>
            <w:r w:rsidRPr="00C27240">
              <w:rPr>
                <w:rFonts w:ascii="Arial" w:eastAsia="Times New Roman" w:hAnsi="Arial" w:cs="Arial"/>
                <w:b/>
                <w:bCs/>
                <w:color w:val="000000"/>
                <w:sz w:val="22"/>
                <w:szCs w:val="22"/>
                <w:lang w:val="en-NZ" w:eastAsia="en-GB"/>
              </w:rPr>
              <w:t>Building shared understanding </w:t>
            </w:r>
          </w:p>
          <w:p w14:paraId="350C29A6" w14:textId="77777777" w:rsidR="00C27240" w:rsidRPr="00C27240" w:rsidRDefault="00C27240" w:rsidP="00C27240">
            <w:pPr>
              <w:rPr>
                <w:rFonts w:ascii="Tahoma" w:eastAsia="Times New Roman" w:hAnsi="Tahoma" w:cs="Tahoma"/>
                <w:lang w:val="en-NZ" w:eastAsia="en-GB"/>
              </w:rPr>
            </w:pPr>
            <w:r w:rsidRPr="00C27240">
              <w:rPr>
                <w:rFonts w:ascii="Arial" w:eastAsia="Times New Roman" w:hAnsi="Arial" w:cs="Arial"/>
                <w:color w:val="000000"/>
                <w:sz w:val="22"/>
                <w:szCs w:val="22"/>
                <w:lang w:val="en-NZ" w:eastAsia="en-GB"/>
              </w:rPr>
              <w:t>Digital Fluency (English Medium)</w:t>
            </w:r>
          </w:p>
        </w:tc>
        <w:tc>
          <w:tcPr>
            <w:tcW w:w="595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46E6DAA0" w14:textId="2B59DB15" w:rsidR="00C27240" w:rsidRPr="00C27240" w:rsidRDefault="00C27240" w:rsidP="00C27240">
            <w:pPr>
              <w:rPr>
                <w:rFonts w:ascii="Arial" w:eastAsia="Times New Roman" w:hAnsi="Arial" w:cs="Arial"/>
                <w:sz w:val="20"/>
                <w:szCs w:val="20"/>
                <w:lang w:val="en-NZ" w:eastAsia="en-GB"/>
              </w:rPr>
            </w:pPr>
            <w:r w:rsidRPr="00C27240">
              <w:rPr>
                <w:rFonts w:ascii="Arial" w:eastAsia="Times New Roman" w:hAnsi="Arial" w:cs="Arial"/>
                <w:color w:val="000000"/>
                <w:sz w:val="22"/>
                <w:szCs w:val="22"/>
                <w:lang w:eastAsia="en-GB"/>
              </w:rPr>
              <w:t xml:space="preserve">Derek </w:t>
            </w:r>
            <w:proofErr w:type="spellStart"/>
            <w:r w:rsidRPr="00C27240">
              <w:rPr>
                <w:rFonts w:ascii="Arial" w:eastAsia="Times New Roman" w:hAnsi="Arial" w:cs="Arial"/>
                <w:color w:val="000000"/>
                <w:sz w:val="22"/>
                <w:szCs w:val="22"/>
                <w:lang w:eastAsia="en-GB"/>
              </w:rPr>
              <w:t>Wenmouth</w:t>
            </w:r>
            <w:proofErr w:type="spellEnd"/>
            <w:r w:rsidRPr="00C27240">
              <w:rPr>
                <w:rFonts w:ascii="Arial" w:eastAsia="Times New Roman" w:hAnsi="Arial" w:cs="Arial"/>
                <w:color w:val="000000"/>
                <w:sz w:val="22"/>
                <w:szCs w:val="22"/>
                <w:lang w:eastAsia="en-GB"/>
              </w:rPr>
              <w:t> </w:t>
            </w:r>
            <w:r w:rsidRPr="00C27240">
              <w:rPr>
                <w:rFonts w:ascii="Arial" w:eastAsia="Times New Roman" w:hAnsi="Arial" w:cs="Arial"/>
                <w:i/>
                <w:iCs/>
                <w:color w:val="000000"/>
                <w:sz w:val="22"/>
                <w:szCs w:val="22"/>
                <w:lang w:eastAsia="en-GB"/>
              </w:rPr>
              <w:t>CORE Education</w:t>
            </w:r>
          </w:p>
        </w:tc>
      </w:tr>
    </w:tbl>
    <w:p w14:paraId="2F2605C2"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FFFFFF"/>
          <w:sz w:val="22"/>
          <w:szCs w:val="22"/>
          <w:lang w:val="en-NZ" w:eastAsia="en-GB"/>
        </w:rPr>
        <w:t> </w:t>
      </w:r>
      <w:bookmarkStart w:id="0" w:name="_GoBack"/>
      <w:bookmarkEnd w:id="0"/>
    </w:p>
    <w:p w14:paraId="60B7A842"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Each webinar has space for up to 50 participants. These webinars are open to PLD providers and facilitators, relevant Ministry staff and members of the sector. </w:t>
      </w:r>
    </w:p>
    <w:p w14:paraId="00BEE271"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130D0F59" w14:textId="77777777" w:rsidR="00C27240" w:rsidRDefault="00C27240" w:rsidP="00C27240">
      <w:pPr>
        <w:rPr>
          <w:rFonts w:ascii="Arial" w:eastAsia="Times New Roman" w:hAnsi="Arial" w:cs="Arial"/>
          <w:color w:val="000000"/>
          <w:sz w:val="22"/>
          <w:szCs w:val="22"/>
          <w:lang w:val="en-NZ" w:eastAsia="en-GB"/>
        </w:rPr>
      </w:pPr>
      <w:r w:rsidRPr="00C27240">
        <w:rPr>
          <w:rFonts w:ascii="Arial" w:eastAsia="Times New Roman" w:hAnsi="Arial" w:cs="Arial"/>
          <w:color w:val="000000"/>
          <w:sz w:val="22"/>
          <w:szCs w:val="22"/>
          <w:lang w:val="en-NZ" w:eastAsia="en-GB"/>
        </w:rPr>
        <w:t>Registrations will be managed by the technical supplier we have contracted to set up and run these webinars. Registration details are available on the PLD website here </w:t>
      </w:r>
    </w:p>
    <w:p w14:paraId="2795199B" w14:textId="4A3FA937" w:rsidR="00C27240" w:rsidRPr="00C27240" w:rsidRDefault="00C27240" w:rsidP="00C27240">
      <w:pPr>
        <w:rPr>
          <w:rFonts w:ascii="Calibri" w:eastAsia="Times New Roman" w:hAnsi="Calibri" w:cs="Calibri"/>
          <w:color w:val="000000"/>
          <w:sz w:val="22"/>
          <w:szCs w:val="22"/>
          <w:lang w:val="en-NZ" w:eastAsia="en-GB"/>
        </w:rPr>
      </w:pPr>
      <w:hyperlink r:id="rId4" w:history="1">
        <w:r w:rsidRPr="00C27240">
          <w:rPr>
            <w:rStyle w:val="Hyperlink"/>
            <w:rFonts w:ascii="Arial" w:eastAsia="Times New Roman" w:hAnsi="Arial" w:cs="Arial"/>
            <w:sz w:val="22"/>
            <w:szCs w:val="22"/>
            <w:lang w:val="en-NZ" w:eastAsia="en-GB"/>
          </w:rPr>
          <w:t>https://pld.education.govt.nz/news/pld-priorities-livestream</w:t>
        </w:r>
      </w:hyperlink>
      <w:r w:rsidRPr="00C27240">
        <w:rPr>
          <w:rFonts w:ascii="Arial" w:eastAsia="Times New Roman" w:hAnsi="Arial" w:cs="Arial"/>
          <w:color w:val="000000"/>
          <w:sz w:val="22"/>
          <w:szCs w:val="22"/>
          <w:lang w:val="en-NZ" w:eastAsia="en-GB"/>
        </w:rPr>
        <w:t>. </w:t>
      </w:r>
    </w:p>
    <w:p w14:paraId="1E041093"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1CFC92E6"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Depending on demand, we will look at running more of them through September and possibly October.</w:t>
      </w:r>
    </w:p>
    <w:p w14:paraId="209C3D93"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24F2F6D6"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Please share with your facilitators and any other staff members who may be interested in the livestream or the webinar series. </w:t>
      </w:r>
    </w:p>
    <w:p w14:paraId="17F43FB2"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103C3BE0"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If you have any questions, do not hesitate to email us at </w:t>
      </w:r>
      <w:hyperlink r:id="rId5" w:history="1">
        <w:r w:rsidRPr="00C27240">
          <w:rPr>
            <w:rFonts w:ascii="Arial" w:eastAsia="Times New Roman" w:hAnsi="Arial" w:cs="Arial"/>
            <w:color w:val="0563C1"/>
            <w:sz w:val="22"/>
            <w:szCs w:val="22"/>
            <w:u w:val="single"/>
            <w:lang w:val="en-NZ" w:eastAsia="en-GB"/>
          </w:rPr>
          <w:t>PLD.Providers@education.govt.nz</w:t>
        </w:r>
      </w:hyperlink>
      <w:r w:rsidRPr="00C27240">
        <w:rPr>
          <w:rFonts w:ascii="Arial" w:eastAsia="Times New Roman" w:hAnsi="Arial" w:cs="Arial"/>
          <w:color w:val="000000"/>
          <w:sz w:val="22"/>
          <w:szCs w:val="22"/>
          <w:lang w:val="en-NZ" w:eastAsia="en-GB"/>
        </w:rPr>
        <w:t>. </w:t>
      </w:r>
    </w:p>
    <w:p w14:paraId="71D1BA4B" w14:textId="77777777"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22"/>
          <w:szCs w:val="22"/>
          <w:lang w:val="en-NZ" w:eastAsia="en-GB"/>
        </w:rPr>
        <w:t> </w:t>
      </w:r>
    </w:p>
    <w:p w14:paraId="029047A4" w14:textId="074B7794" w:rsidR="00C27240" w:rsidRPr="00C27240" w:rsidRDefault="00C27240" w:rsidP="00C27240">
      <w:pPr>
        <w:rPr>
          <w:rFonts w:ascii="Calibri" w:eastAsia="Times New Roman" w:hAnsi="Calibri" w:cs="Calibri"/>
          <w:color w:val="000000"/>
          <w:sz w:val="22"/>
          <w:szCs w:val="22"/>
          <w:lang w:val="en-NZ" w:eastAsia="en-GB"/>
        </w:rPr>
      </w:pPr>
      <w:r w:rsidRPr="00C27240">
        <w:rPr>
          <w:rFonts w:ascii="Arial" w:eastAsia="Times New Roman" w:hAnsi="Arial" w:cs="Arial"/>
          <w:color w:val="000000"/>
          <w:sz w:val="18"/>
          <w:szCs w:val="18"/>
          <w:lang w:val="en-NZ" w:eastAsia="en-GB"/>
        </w:rPr>
        <w:t>Ngā mihi nui</w:t>
      </w:r>
      <w:r w:rsidRPr="00C27240">
        <w:rPr>
          <w:rFonts w:ascii="Arial" w:eastAsia="Times New Roman" w:hAnsi="Arial" w:cs="Arial"/>
          <w:b/>
          <w:bCs/>
          <w:color w:val="000000"/>
          <w:sz w:val="18"/>
          <w:szCs w:val="18"/>
          <w:lang w:val="en-NZ" w:eastAsia="en-GB"/>
        </w:rPr>
        <w:br/>
        <w:t>Professional Learning and Development</w:t>
      </w:r>
      <w:r w:rsidRPr="00C27240">
        <w:rPr>
          <w:rFonts w:ascii="Arial" w:eastAsia="Times New Roman" w:hAnsi="Arial" w:cs="Arial"/>
          <w:color w:val="000000"/>
          <w:sz w:val="18"/>
          <w:szCs w:val="18"/>
          <w:lang w:val="en-NZ" w:eastAsia="en-GB"/>
        </w:rPr>
        <w:t> | Pathways and Progress - Early Learning &amp; Student Achievement</w:t>
      </w:r>
      <w:r w:rsidRPr="00C27240">
        <w:rPr>
          <w:rFonts w:ascii="Calibri" w:eastAsia="Times New Roman" w:hAnsi="Calibri" w:cs="Calibri"/>
          <w:color w:val="000000"/>
          <w:sz w:val="18"/>
          <w:szCs w:val="18"/>
          <w:lang w:val="en-NZ" w:eastAsia="en-GB"/>
        </w:rPr>
        <w:br/>
      </w:r>
      <w:hyperlink r:id="rId6" w:history="1">
        <w:r w:rsidRPr="00C27240">
          <w:rPr>
            <w:rFonts w:ascii="Calibri" w:eastAsia="Times New Roman" w:hAnsi="Calibri" w:cs="Calibri"/>
            <w:b/>
            <w:bCs/>
            <w:color w:val="4472C4"/>
            <w:sz w:val="17"/>
            <w:szCs w:val="17"/>
            <w:u w:val="single"/>
            <w:lang w:val="en-NZ" w:eastAsia="en-GB"/>
          </w:rPr>
          <w:t>education.govt.nz</w:t>
        </w:r>
      </w:hyperlink>
      <w:r w:rsidRPr="00C27240">
        <w:rPr>
          <w:rFonts w:ascii="Calibri" w:eastAsia="Times New Roman" w:hAnsi="Calibri" w:cs="Calibri"/>
          <w:color w:val="000000"/>
          <w:sz w:val="17"/>
          <w:szCs w:val="17"/>
          <w:lang w:val="en-NZ" w:eastAsia="en-GB"/>
        </w:rPr>
        <w:br/>
      </w:r>
      <w:r w:rsidRPr="00C27240">
        <w:rPr>
          <w:rFonts w:ascii="Calibri" w:eastAsia="Times New Roman" w:hAnsi="Calibri" w:cs="Calibri"/>
          <w:color w:val="000000"/>
          <w:sz w:val="17"/>
          <w:szCs w:val="17"/>
          <w:lang w:val="en-NZ" w:eastAsia="en-GB"/>
        </w:rPr>
        <w:br/>
      </w:r>
      <w:r w:rsidRPr="00C27240">
        <w:rPr>
          <w:rFonts w:ascii="Calibri" w:eastAsia="Times New Roman" w:hAnsi="Calibri" w:cs="Calibri"/>
          <w:b/>
          <w:bCs/>
          <w:i/>
          <w:iCs/>
          <w:color w:val="000000"/>
          <w:sz w:val="17"/>
          <w:szCs w:val="17"/>
          <w:lang w:val="en-NZ" w:eastAsia="en-GB"/>
        </w:rPr>
        <w:t>We shape an education system that delivers equitable and excellent outcomes</w:t>
      </w:r>
      <w:r w:rsidRPr="00C27240">
        <w:rPr>
          <w:rFonts w:ascii="Calibri" w:eastAsia="Times New Roman" w:hAnsi="Calibri" w:cs="Calibri"/>
          <w:color w:val="000000"/>
          <w:sz w:val="17"/>
          <w:szCs w:val="17"/>
          <w:lang w:val="en-NZ" w:eastAsia="en-GB"/>
        </w:rPr>
        <w:t> </w:t>
      </w:r>
      <w:r w:rsidRPr="00C27240">
        <w:rPr>
          <w:rFonts w:ascii="Calibri" w:eastAsia="Times New Roman" w:hAnsi="Calibri" w:cs="Calibri"/>
          <w:color w:val="000000"/>
          <w:sz w:val="17"/>
          <w:szCs w:val="17"/>
          <w:lang w:val="en-NZ" w:eastAsia="en-GB"/>
        </w:rPr>
        <w:br/>
      </w:r>
      <w:r w:rsidRPr="00C27240">
        <w:rPr>
          <w:rFonts w:ascii="Calibri" w:eastAsia="Times New Roman" w:hAnsi="Calibri" w:cs="Calibri"/>
          <w:b/>
          <w:bCs/>
          <w:i/>
          <w:iCs/>
          <w:color w:val="000000"/>
          <w:sz w:val="17"/>
          <w:szCs w:val="17"/>
          <w:lang w:val="en-NZ" w:eastAsia="en-GB"/>
        </w:rPr>
        <w:t xml:space="preserve">He </w:t>
      </w:r>
      <w:proofErr w:type="spellStart"/>
      <w:r w:rsidRPr="00C27240">
        <w:rPr>
          <w:rFonts w:ascii="Calibri" w:eastAsia="Times New Roman" w:hAnsi="Calibri" w:cs="Calibri"/>
          <w:b/>
          <w:bCs/>
          <w:i/>
          <w:iCs/>
          <w:color w:val="000000"/>
          <w:sz w:val="17"/>
          <w:szCs w:val="17"/>
          <w:lang w:val="en-NZ" w:eastAsia="en-GB"/>
        </w:rPr>
        <w:t>mea</w:t>
      </w:r>
      <w:proofErr w:type="spellEnd"/>
      <w:r w:rsidRPr="00C27240">
        <w:rPr>
          <w:rFonts w:ascii="Calibri" w:eastAsia="Times New Roman" w:hAnsi="Calibri" w:cs="Calibri"/>
          <w:b/>
          <w:bCs/>
          <w:i/>
          <w:iCs/>
          <w:color w:val="000000"/>
          <w:sz w:val="17"/>
          <w:szCs w:val="17"/>
          <w:lang w:val="en-NZ" w:eastAsia="en-GB"/>
        </w:rPr>
        <w:t xml:space="preserve"> </w:t>
      </w:r>
      <w:proofErr w:type="spellStart"/>
      <w:r w:rsidRPr="00C27240">
        <w:rPr>
          <w:rFonts w:ascii="Calibri" w:eastAsia="Times New Roman" w:hAnsi="Calibri" w:cs="Calibri"/>
          <w:b/>
          <w:bCs/>
          <w:i/>
          <w:iCs/>
          <w:color w:val="000000"/>
          <w:sz w:val="17"/>
          <w:szCs w:val="17"/>
          <w:lang w:val="en-NZ" w:eastAsia="en-GB"/>
        </w:rPr>
        <w:t>tārai</w:t>
      </w:r>
      <w:proofErr w:type="spellEnd"/>
      <w:r w:rsidRPr="00C27240">
        <w:rPr>
          <w:rFonts w:ascii="Calibri" w:eastAsia="Times New Roman" w:hAnsi="Calibri" w:cs="Calibri"/>
          <w:b/>
          <w:bCs/>
          <w:i/>
          <w:iCs/>
          <w:color w:val="000000"/>
          <w:sz w:val="17"/>
          <w:szCs w:val="17"/>
          <w:lang w:val="en-NZ" w:eastAsia="en-GB"/>
        </w:rPr>
        <w:t xml:space="preserve"> e </w:t>
      </w:r>
      <w:proofErr w:type="spellStart"/>
      <w:r w:rsidRPr="00C27240">
        <w:rPr>
          <w:rFonts w:ascii="Calibri" w:eastAsia="Times New Roman" w:hAnsi="Calibri" w:cs="Calibri"/>
          <w:b/>
          <w:bCs/>
          <w:i/>
          <w:iCs/>
          <w:color w:val="000000"/>
          <w:sz w:val="17"/>
          <w:szCs w:val="17"/>
          <w:lang w:val="en-NZ" w:eastAsia="en-GB"/>
        </w:rPr>
        <w:t>mātou</w:t>
      </w:r>
      <w:proofErr w:type="spellEnd"/>
      <w:r w:rsidRPr="00C27240">
        <w:rPr>
          <w:rFonts w:ascii="Calibri" w:eastAsia="Times New Roman" w:hAnsi="Calibri" w:cs="Calibri"/>
          <w:b/>
          <w:bCs/>
          <w:i/>
          <w:iCs/>
          <w:color w:val="000000"/>
          <w:sz w:val="17"/>
          <w:szCs w:val="17"/>
          <w:lang w:val="en-NZ" w:eastAsia="en-GB"/>
        </w:rPr>
        <w:t xml:space="preserve"> te mātauranga kia </w:t>
      </w:r>
      <w:proofErr w:type="spellStart"/>
      <w:r w:rsidRPr="00C27240">
        <w:rPr>
          <w:rFonts w:ascii="Calibri" w:eastAsia="Times New Roman" w:hAnsi="Calibri" w:cs="Calibri"/>
          <w:b/>
          <w:bCs/>
          <w:i/>
          <w:iCs/>
          <w:color w:val="000000"/>
          <w:sz w:val="17"/>
          <w:szCs w:val="17"/>
          <w:lang w:val="en-NZ" w:eastAsia="en-GB"/>
        </w:rPr>
        <w:t>rangatira</w:t>
      </w:r>
      <w:proofErr w:type="spellEnd"/>
      <w:r w:rsidRPr="00C27240">
        <w:rPr>
          <w:rFonts w:ascii="Calibri" w:eastAsia="Times New Roman" w:hAnsi="Calibri" w:cs="Calibri"/>
          <w:b/>
          <w:bCs/>
          <w:i/>
          <w:iCs/>
          <w:color w:val="000000"/>
          <w:sz w:val="17"/>
          <w:szCs w:val="17"/>
          <w:lang w:val="en-NZ" w:eastAsia="en-GB"/>
        </w:rPr>
        <w:t xml:space="preserve"> ai, kia mana </w:t>
      </w:r>
      <w:proofErr w:type="spellStart"/>
      <w:r w:rsidRPr="00C27240">
        <w:rPr>
          <w:rFonts w:ascii="Calibri" w:eastAsia="Times New Roman" w:hAnsi="Calibri" w:cs="Calibri"/>
          <w:b/>
          <w:bCs/>
          <w:i/>
          <w:iCs/>
          <w:color w:val="000000"/>
          <w:sz w:val="17"/>
          <w:szCs w:val="17"/>
          <w:lang w:val="en-NZ" w:eastAsia="en-GB"/>
        </w:rPr>
        <w:t>taurite</w:t>
      </w:r>
      <w:proofErr w:type="spellEnd"/>
      <w:r w:rsidRPr="00C27240">
        <w:rPr>
          <w:rFonts w:ascii="Calibri" w:eastAsia="Times New Roman" w:hAnsi="Calibri" w:cs="Calibri"/>
          <w:b/>
          <w:bCs/>
          <w:i/>
          <w:iCs/>
          <w:color w:val="000000"/>
          <w:sz w:val="17"/>
          <w:szCs w:val="17"/>
          <w:lang w:val="en-NZ" w:eastAsia="en-GB"/>
        </w:rPr>
        <w:t xml:space="preserve"> ai </w:t>
      </w:r>
      <w:proofErr w:type="spellStart"/>
      <w:r w:rsidRPr="00C27240">
        <w:rPr>
          <w:rFonts w:ascii="Calibri" w:eastAsia="Times New Roman" w:hAnsi="Calibri" w:cs="Calibri"/>
          <w:b/>
          <w:bCs/>
          <w:i/>
          <w:iCs/>
          <w:color w:val="000000"/>
          <w:sz w:val="17"/>
          <w:szCs w:val="17"/>
          <w:lang w:val="en-NZ" w:eastAsia="en-GB"/>
        </w:rPr>
        <w:t>ōna</w:t>
      </w:r>
      <w:proofErr w:type="spellEnd"/>
      <w:r w:rsidRPr="00C27240">
        <w:rPr>
          <w:rFonts w:ascii="Calibri" w:eastAsia="Times New Roman" w:hAnsi="Calibri" w:cs="Calibri"/>
          <w:b/>
          <w:bCs/>
          <w:i/>
          <w:iCs/>
          <w:color w:val="000000"/>
          <w:sz w:val="17"/>
          <w:szCs w:val="17"/>
          <w:lang w:val="en-NZ" w:eastAsia="en-GB"/>
        </w:rPr>
        <w:t xml:space="preserve"> </w:t>
      </w:r>
      <w:proofErr w:type="spellStart"/>
      <w:r w:rsidRPr="00C27240">
        <w:rPr>
          <w:rFonts w:ascii="Calibri" w:eastAsia="Times New Roman" w:hAnsi="Calibri" w:cs="Calibri"/>
          <w:b/>
          <w:bCs/>
          <w:i/>
          <w:iCs/>
          <w:color w:val="000000"/>
          <w:sz w:val="17"/>
          <w:szCs w:val="17"/>
          <w:lang w:val="en-NZ" w:eastAsia="en-GB"/>
        </w:rPr>
        <w:t>huanga</w:t>
      </w:r>
      <w:proofErr w:type="spellEnd"/>
      <w:r w:rsidRPr="00C27240">
        <w:rPr>
          <w:rFonts w:ascii="Calibri" w:eastAsia="Times New Roman" w:hAnsi="Calibri" w:cs="Calibri"/>
          <w:color w:val="000000"/>
          <w:sz w:val="17"/>
          <w:szCs w:val="17"/>
          <w:lang w:val="en-NZ" w:eastAsia="en-GB"/>
        </w:rPr>
        <w:t> </w:t>
      </w:r>
      <w:r w:rsidRPr="00C27240">
        <w:rPr>
          <w:rFonts w:ascii="Calibri" w:eastAsia="Times New Roman" w:hAnsi="Calibri" w:cs="Calibri"/>
          <w:i/>
          <w:iCs/>
          <w:color w:val="E4433E"/>
          <w:sz w:val="18"/>
          <w:szCs w:val="18"/>
          <w:lang w:val="en-NZ" w:eastAsia="en-GB"/>
        </w:rPr>
        <w:br/>
      </w:r>
      <w:r w:rsidRPr="00C27240">
        <w:rPr>
          <w:rFonts w:ascii="Calibri" w:eastAsia="Times New Roman" w:hAnsi="Calibri" w:cs="Calibri"/>
          <w:i/>
          <w:iCs/>
          <w:color w:val="E4433E"/>
          <w:sz w:val="20"/>
          <w:szCs w:val="20"/>
          <w:lang w:val="en-NZ" w:eastAsia="en-GB"/>
        </w:rPr>
        <w:br/>
      </w:r>
      <w:r w:rsidRPr="00C27240">
        <w:rPr>
          <w:rFonts w:ascii="Calibri" w:eastAsia="Times New Roman" w:hAnsi="Calibri" w:cs="Calibri"/>
          <w:noProof/>
          <w:color w:val="0000FF"/>
          <w:sz w:val="17"/>
          <w:szCs w:val="17"/>
          <w:lang w:val="en-NZ" w:eastAsia="en-GB"/>
        </w:rPr>
        <w:drawing>
          <wp:inline distT="0" distB="0" distL="0" distR="0" wp14:anchorId="4C75B195" wp14:editId="415FDD28">
            <wp:extent cx="1853565" cy="726440"/>
            <wp:effectExtent l="0" t="0" r="635" b="0"/>
            <wp:docPr id="1" name="Picture 1" descr="cid:image001.png@01D54161.2732EE20">
              <a:hlinkClick xmlns:a="http://schemas.openxmlformats.org/drawingml/2006/main" r:id="rId6" tooltip="http://www.education.govt.nz/"/>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4161.2732EE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65" cy="726440"/>
                    </a:xfrm>
                    <a:prstGeom prst="rect">
                      <a:avLst/>
                    </a:prstGeom>
                    <a:noFill/>
                    <a:ln>
                      <a:noFill/>
                    </a:ln>
                  </pic:spPr>
                </pic:pic>
              </a:graphicData>
            </a:graphic>
          </wp:inline>
        </w:drawing>
      </w:r>
    </w:p>
    <w:p w14:paraId="60AE4D94" w14:textId="77777777" w:rsidR="00C27240" w:rsidRDefault="00C27240"/>
    <w:sectPr w:rsidR="00C27240"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40"/>
    <w:rsid w:val="000418C9"/>
    <w:rsid w:val="00146780"/>
    <w:rsid w:val="00384DFA"/>
    <w:rsid w:val="00645523"/>
    <w:rsid w:val="00995C4A"/>
    <w:rsid w:val="00C27240"/>
    <w:rsid w:val="00C919A5"/>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81FF79B"/>
  <w15:chartTrackingRefBased/>
  <w15:docId w15:val="{241915DC-56BA-AE42-AC24-16A990F0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7240"/>
  </w:style>
  <w:style w:type="character" w:styleId="Hyperlink">
    <w:name w:val="Hyperlink"/>
    <w:basedOn w:val="DefaultParagraphFont"/>
    <w:uiPriority w:val="99"/>
    <w:unhideWhenUsed/>
    <w:rsid w:val="00C27240"/>
    <w:rPr>
      <w:color w:val="0000FF"/>
      <w:u w:val="single"/>
    </w:rPr>
  </w:style>
  <w:style w:type="paragraph" w:styleId="ListNumber">
    <w:name w:val="List Number"/>
    <w:basedOn w:val="Normal"/>
    <w:uiPriority w:val="99"/>
    <w:semiHidden/>
    <w:unhideWhenUsed/>
    <w:rsid w:val="00C27240"/>
    <w:pPr>
      <w:spacing w:before="100" w:beforeAutospacing="1" w:after="100" w:afterAutospacing="1"/>
    </w:pPr>
    <w:rPr>
      <w:rFonts w:ascii="Times New Roman" w:eastAsia="Times New Roman" w:hAnsi="Times New Roman" w:cs="Times New Roman"/>
      <w:lang w:val="en-NZ" w:eastAsia="en-GB"/>
    </w:rPr>
  </w:style>
  <w:style w:type="paragraph" w:customStyle="1" w:styleId="moe-body">
    <w:name w:val="moe-body"/>
    <w:basedOn w:val="Normal"/>
    <w:rsid w:val="00C27240"/>
    <w:pPr>
      <w:spacing w:before="100" w:beforeAutospacing="1" w:after="100" w:afterAutospacing="1"/>
    </w:pPr>
    <w:rPr>
      <w:rFonts w:ascii="Times New Roman" w:eastAsia="Times New Roman" w:hAnsi="Times New Roman" w:cs="Times New Roman"/>
      <w:lang w:val="en-NZ" w:eastAsia="en-GB"/>
    </w:rPr>
  </w:style>
  <w:style w:type="paragraph" w:styleId="ListBullet">
    <w:name w:val="List Bullet"/>
    <w:basedOn w:val="Normal"/>
    <w:uiPriority w:val="99"/>
    <w:semiHidden/>
    <w:unhideWhenUsed/>
    <w:rsid w:val="00C27240"/>
    <w:pPr>
      <w:spacing w:before="100" w:beforeAutospacing="1" w:after="100" w:afterAutospacing="1"/>
    </w:pPr>
    <w:rPr>
      <w:rFonts w:ascii="Times New Roman" w:eastAsia="Times New Roman" w:hAnsi="Times New Roman" w:cs="Times New Roman"/>
      <w:lang w:val="en-NZ" w:eastAsia="en-GB"/>
    </w:rPr>
  </w:style>
  <w:style w:type="character" w:styleId="UnresolvedMention">
    <w:name w:val="Unresolved Mention"/>
    <w:basedOn w:val="DefaultParagraphFont"/>
    <w:uiPriority w:val="99"/>
    <w:semiHidden/>
    <w:unhideWhenUsed/>
    <w:rsid w:val="00C2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3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vt.nz/" TargetMode="External"/><Relationship Id="rId5" Type="http://schemas.openxmlformats.org/officeDocument/2006/relationships/hyperlink" Target="mailto:PLD.Providers@education.govt.nz" TargetMode="External"/><Relationship Id="rId4" Type="http://schemas.openxmlformats.org/officeDocument/2006/relationships/hyperlink" Target="https://pld.education.govt.nz/news/pld-priorities-livestre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2020-08-21T07:06:00Z</dcterms:created>
  <dcterms:modified xsi:type="dcterms:W3CDTF">2020-08-21T07:19:00Z</dcterms:modified>
</cp:coreProperties>
</file>